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060F9" w14:textId="77777777" w:rsidR="00117AA5" w:rsidRPr="00117AA5" w:rsidRDefault="00117AA5" w:rsidP="00717128">
      <w:pPr>
        <w:spacing w:line="288" w:lineRule="auto"/>
        <w:jc w:val="both"/>
        <w:rPr>
          <w:b/>
          <w:bCs/>
          <w:sz w:val="22"/>
          <w:szCs w:val="22"/>
        </w:rPr>
      </w:pPr>
      <w:r w:rsidRPr="00117AA5">
        <w:rPr>
          <w:b/>
          <w:bCs/>
          <w:sz w:val="22"/>
          <w:szCs w:val="22"/>
        </w:rPr>
        <w:t>Technologia Zywa – mechanizm działania</w:t>
      </w:r>
    </w:p>
    <w:p w14:paraId="0BE4F578" w14:textId="0B5CAC01" w:rsidR="00117AA5" w:rsidRPr="00117AA5" w:rsidRDefault="00117AA5" w:rsidP="00717128">
      <w:pPr>
        <w:spacing w:line="288" w:lineRule="auto"/>
        <w:jc w:val="both"/>
        <w:rPr>
          <w:sz w:val="22"/>
          <w:szCs w:val="22"/>
        </w:rPr>
      </w:pPr>
      <w:r w:rsidRPr="00117AA5">
        <w:rPr>
          <w:sz w:val="22"/>
          <w:szCs w:val="22"/>
        </w:rPr>
        <w:t xml:space="preserve">Technologia Zywa opiera się na przepływowym, ciśnieniowym systemie wzbogacania wody w wodór molekularny (H₂) bez wykorzystania energii elektrycznej. Proces zachodzi w </w:t>
      </w:r>
      <w:r w:rsidR="00E528ED">
        <w:rPr>
          <w:sz w:val="22"/>
          <w:szCs w:val="22"/>
        </w:rPr>
        <w:t xml:space="preserve">module </w:t>
      </w:r>
      <w:r w:rsidRPr="00117AA5">
        <w:rPr>
          <w:sz w:val="22"/>
          <w:szCs w:val="22"/>
        </w:rPr>
        <w:t>pracującym pod ciśnieniem, co zwiększa efektywność rozpuszczania wodoru i stabilność jego stężenia w wodzie.</w:t>
      </w:r>
    </w:p>
    <w:p w14:paraId="69A9BB3B" w14:textId="24FB1E11" w:rsidR="00117AA5" w:rsidRPr="00117AA5" w:rsidRDefault="00117AA5" w:rsidP="00717128">
      <w:pPr>
        <w:spacing w:line="288" w:lineRule="auto"/>
        <w:jc w:val="both"/>
        <w:rPr>
          <w:sz w:val="22"/>
          <w:szCs w:val="22"/>
        </w:rPr>
      </w:pPr>
      <w:r w:rsidRPr="00117AA5">
        <w:rPr>
          <w:sz w:val="22"/>
          <w:szCs w:val="22"/>
        </w:rPr>
        <w:t>Układ technologiczny obejmuje trzy etapy. W pierwszym etapie woda przechodzi przez filtr ceramiczno</w:t>
      </w:r>
      <w:r w:rsidRPr="00117AA5">
        <w:rPr>
          <w:sz w:val="22"/>
          <w:szCs w:val="22"/>
        </w:rPr>
        <w:noBreakHyphen/>
        <w:t xml:space="preserve">węglowy usuwający zanieczyszczenia mechaniczne i poprawiający parametry organoleptyczne. Następnie trafia do ciśnieniowego </w:t>
      </w:r>
      <w:r w:rsidR="00E528ED">
        <w:rPr>
          <w:sz w:val="22"/>
          <w:szCs w:val="22"/>
        </w:rPr>
        <w:t>modułu</w:t>
      </w:r>
      <w:r w:rsidRPr="00117AA5">
        <w:rPr>
          <w:sz w:val="22"/>
          <w:szCs w:val="22"/>
        </w:rPr>
        <w:t xml:space="preserve"> zawierającego aktywne złoże</w:t>
      </w:r>
      <w:r w:rsidR="00217899">
        <w:rPr>
          <w:sz w:val="22"/>
          <w:szCs w:val="22"/>
        </w:rPr>
        <w:t>,</w:t>
      </w:r>
      <w:r w:rsidRPr="00117AA5">
        <w:rPr>
          <w:sz w:val="22"/>
          <w:szCs w:val="22"/>
        </w:rPr>
        <w:t xml:space="preserve"> </w:t>
      </w:r>
      <w:r w:rsidR="00217899">
        <w:rPr>
          <w:sz w:val="22"/>
          <w:szCs w:val="22"/>
        </w:rPr>
        <w:t>w którym</w:t>
      </w:r>
      <w:r w:rsidRPr="00117AA5">
        <w:rPr>
          <w:sz w:val="22"/>
          <w:szCs w:val="22"/>
        </w:rPr>
        <w:t xml:space="preserve"> zachodzi kontrolowana reakcja, prowadząca do uwalniania wodoru molekularnego</w:t>
      </w:r>
      <w:r w:rsidR="00E165FA">
        <w:rPr>
          <w:sz w:val="22"/>
          <w:szCs w:val="22"/>
        </w:rPr>
        <w:t>. Obecność srebra wspomaga proces, zwiększając efektywność generacji wodoru</w:t>
      </w:r>
      <w:r w:rsidRPr="00117AA5">
        <w:rPr>
          <w:sz w:val="22"/>
          <w:szCs w:val="22"/>
        </w:rPr>
        <w:t>. Dodatkowo srebro pełni funkcję stabilizacji mikrobiologicznej układu. Po etapie generacji woda przechodzi przez reduktor ciśnienia oraz końcowy filtr ceramiczno</w:t>
      </w:r>
      <w:r w:rsidRPr="00117AA5">
        <w:rPr>
          <w:sz w:val="22"/>
          <w:szCs w:val="22"/>
        </w:rPr>
        <w:noBreakHyphen/>
        <w:t xml:space="preserve">węglowy odpowiedzialny za </w:t>
      </w:r>
      <w:r w:rsidR="007F0FA6">
        <w:rPr>
          <w:sz w:val="22"/>
          <w:szCs w:val="22"/>
        </w:rPr>
        <w:t xml:space="preserve">usunięcie resztek zanieczyszczeń </w:t>
      </w:r>
      <w:r w:rsidR="007F0FA6" w:rsidRPr="007F0FA6">
        <w:t>z</w:t>
      </w:r>
      <w:r w:rsidR="007F0FA6">
        <w:t> </w:t>
      </w:r>
      <w:r w:rsidR="007F0FA6" w:rsidRPr="007F0FA6">
        <w:t>wody</w:t>
      </w:r>
      <w:r w:rsidR="007F0FA6">
        <w:rPr>
          <w:sz w:val="22"/>
          <w:szCs w:val="22"/>
        </w:rPr>
        <w:t xml:space="preserve">. </w:t>
      </w:r>
      <w:r w:rsidRPr="00117AA5">
        <w:rPr>
          <w:sz w:val="22"/>
          <w:szCs w:val="22"/>
        </w:rPr>
        <w:t> </w:t>
      </w:r>
    </w:p>
    <w:p w14:paraId="7976B6B6" w14:textId="10300428" w:rsidR="00117AA5" w:rsidRPr="00117AA5" w:rsidRDefault="00117AA5" w:rsidP="00717128">
      <w:pPr>
        <w:spacing w:line="288" w:lineRule="auto"/>
        <w:jc w:val="both"/>
        <w:rPr>
          <w:sz w:val="22"/>
          <w:szCs w:val="22"/>
        </w:rPr>
      </w:pPr>
      <w:r w:rsidRPr="00117AA5">
        <w:rPr>
          <w:sz w:val="22"/>
          <w:szCs w:val="22"/>
        </w:rPr>
        <w:t>Technologia umożliwia uzyskanie wody o wysokiej zawartości rozpuszczonego wodoru, ujemnym potencjale oksydacyjno</w:t>
      </w:r>
      <w:r w:rsidRPr="00117AA5">
        <w:rPr>
          <w:sz w:val="22"/>
          <w:szCs w:val="22"/>
        </w:rPr>
        <w:noBreakHyphen/>
        <w:t>redukcyjnym (ORP) oraz zasadowym pH. System działa w sposób ciągły i nie wymaga stosowania membran elektrolitycznych ani układów wysokoprądowych.</w:t>
      </w:r>
    </w:p>
    <w:p w14:paraId="5A4C6A2A" w14:textId="77777777" w:rsidR="00117AA5" w:rsidRPr="00117AA5" w:rsidRDefault="00117AA5" w:rsidP="00717128">
      <w:pPr>
        <w:spacing w:line="288" w:lineRule="auto"/>
        <w:jc w:val="both"/>
        <w:rPr>
          <w:b/>
          <w:bCs/>
          <w:sz w:val="22"/>
          <w:szCs w:val="22"/>
        </w:rPr>
      </w:pPr>
      <w:r w:rsidRPr="00117AA5">
        <w:rPr>
          <w:b/>
          <w:bCs/>
          <w:sz w:val="22"/>
          <w:szCs w:val="22"/>
        </w:rPr>
        <w:t>Woda wodorowa – wyniki badań naukowych</w:t>
      </w:r>
    </w:p>
    <w:p w14:paraId="2E84FE9A" w14:textId="2941A500" w:rsidR="00117AA5" w:rsidRPr="00E165FA" w:rsidRDefault="00117AA5" w:rsidP="00717128">
      <w:pPr>
        <w:spacing w:line="288" w:lineRule="auto"/>
        <w:jc w:val="both"/>
        <w:rPr>
          <w:sz w:val="22"/>
          <w:szCs w:val="22"/>
        </w:rPr>
      </w:pPr>
      <w:r w:rsidRPr="00117AA5">
        <w:rPr>
          <w:sz w:val="22"/>
          <w:szCs w:val="22"/>
        </w:rPr>
        <w:t xml:space="preserve">Woda wzbogacona w wodór molekularny (H₂), zawierająca 2–6 ppm rozpuszczonego wodoru, ma potencjalne działanie antyoksydacyjne i przeciwzapalne. Badania wskazują, że wodór może ograniczać stres oksydacyjny, wspierać mechanizmy antyoksydacyjne organizmu oraz modulować procesy zapalne (Trinh </w:t>
      </w:r>
      <w:r w:rsidR="00B32DFD">
        <w:rPr>
          <w:sz w:val="22"/>
          <w:szCs w:val="22"/>
        </w:rPr>
        <w:t>i in.</w:t>
      </w:r>
      <w:r w:rsidRPr="00117AA5">
        <w:rPr>
          <w:sz w:val="22"/>
          <w:szCs w:val="22"/>
        </w:rPr>
        <w:t xml:space="preserve">, 2021; Sim </w:t>
      </w:r>
      <w:r w:rsidR="00B32DFD">
        <w:rPr>
          <w:sz w:val="22"/>
          <w:szCs w:val="22"/>
        </w:rPr>
        <w:t>i in.</w:t>
      </w:r>
      <w:r w:rsidRPr="00117AA5">
        <w:rPr>
          <w:sz w:val="22"/>
          <w:szCs w:val="22"/>
        </w:rPr>
        <w:t xml:space="preserve">, 2020; Hu </w:t>
      </w:r>
      <w:r w:rsidR="00B32DFD">
        <w:rPr>
          <w:sz w:val="22"/>
          <w:szCs w:val="22"/>
        </w:rPr>
        <w:t>i in.</w:t>
      </w:r>
      <w:r w:rsidRPr="00117AA5">
        <w:rPr>
          <w:sz w:val="22"/>
          <w:szCs w:val="22"/>
        </w:rPr>
        <w:t>, 2024).</w:t>
      </w:r>
    </w:p>
    <w:p w14:paraId="1F971C31" w14:textId="73E2E64E" w:rsidR="00117AA5" w:rsidRPr="00117AA5" w:rsidRDefault="00117AA5" w:rsidP="00717128">
      <w:pPr>
        <w:spacing w:line="288" w:lineRule="auto"/>
        <w:jc w:val="both"/>
        <w:rPr>
          <w:sz w:val="22"/>
          <w:szCs w:val="22"/>
        </w:rPr>
      </w:pPr>
      <w:r w:rsidRPr="00117AA5">
        <w:rPr>
          <w:sz w:val="22"/>
          <w:szCs w:val="22"/>
        </w:rPr>
        <w:t xml:space="preserve">Wodór molekularny działa selektywnie wobec najbardziej reaktywnych form tlenu (ROS), szczególnie rodnika hydroksylowego (•OH) i nadtlenoazotynu (ONOO⁻) (Ohta, 2012; LeBaron </w:t>
      </w:r>
      <w:r w:rsidR="00B32DFD">
        <w:rPr>
          <w:sz w:val="22"/>
          <w:szCs w:val="22"/>
        </w:rPr>
        <w:t>i in.</w:t>
      </w:r>
      <w:r w:rsidRPr="00117AA5">
        <w:rPr>
          <w:sz w:val="22"/>
          <w:szCs w:val="22"/>
        </w:rPr>
        <w:t xml:space="preserve">, 2019). Dzięki temu może ograniczać uszkodzenia lipidów, białek i DNA bez zaburzania fizjologicznych funkcji mniej reaktywnych form ROS uczestniczących w sygnalizacji komórkowej.W odróżnieniu od klasycznych antyoksydantów, takich jak witamina C czy E, wodór działa selektywnie. Oprócz bezpośredniej neutralizacji wolnych rodników może również wpływać na aktywację komórkowych szlaków antyoksydacyjnych oraz poprawę funkcji mitochondrialnych (Dhillon </w:t>
      </w:r>
      <w:r w:rsidR="00B32DFD">
        <w:rPr>
          <w:sz w:val="22"/>
          <w:szCs w:val="22"/>
        </w:rPr>
        <w:t>i in.</w:t>
      </w:r>
      <w:r w:rsidRPr="00117AA5">
        <w:rPr>
          <w:sz w:val="22"/>
          <w:szCs w:val="22"/>
        </w:rPr>
        <w:t xml:space="preserve">, 2024; Hu </w:t>
      </w:r>
      <w:r w:rsidR="00B32DFD">
        <w:rPr>
          <w:sz w:val="22"/>
          <w:szCs w:val="22"/>
        </w:rPr>
        <w:t>i in.</w:t>
      </w:r>
      <w:r w:rsidRPr="00117AA5">
        <w:rPr>
          <w:sz w:val="22"/>
          <w:szCs w:val="22"/>
        </w:rPr>
        <w:t>, 2024).</w:t>
      </w:r>
    </w:p>
    <w:p w14:paraId="4E1E4335" w14:textId="0E42D2AF" w:rsidR="00117AA5" w:rsidRPr="00117AA5" w:rsidRDefault="00117AA5" w:rsidP="00717128">
      <w:pPr>
        <w:spacing w:line="288" w:lineRule="auto"/>
        <w:jc w:val="both"/>
        <w:rPr>
          <w:sz w:val="22"/>
          <w:szCs w:val="22"/>
        </w:rPr>
      </w:pPr>
      <w:r w:rsidRPr="00117AA5">
        <w:rPr>
          <w:sz w:val="22"/>
          <w:szCs w:val="22"/>
        </w:rPr>
        <w:t xml:space="preserve">Badania in vitro i in vivo wykazały zmniejszenie poziomu reaktywnych form tlenu po spożyciu wody bogatej w wodór (Trinh </w:t>
      </w:r>
      <w:r w:rsidR="00B32DFD">
        <w:rPr>
          <w:sz w:val="22"/>
          <w:szCs w:val="22"/>
        </w:rPr>
        <w:t>i in.</w:t>
      </w:r>
      <w:r w:rsidRPr="00117AA5">
        <w:rPr>
          <w:sz w:val="22"/>
          <w:szCs w:val="22"/>
        </w:rPr>
        <w:t xml:space="preserve">, 2021; Franceschelli </w:t>
      </w:r>
      <w:r w:rsidR="00B32DFD">
        <w:rPr>
          <w:sz w:val="22"/>
          <w:szCs w:val="22"/>
        </w:rPr>
        <w:t>i in.</w:t>
      </w:r>
      <w:r w:rsidRPr="00117AA5">
        <w:rPr>
          <w:sz w:val="22"/>
          <w:szCs w:val="22"/>
        </w:rPr>
        <w:t xml:space="preserve">, 2016). Obserwowano również wzrost aktywności enzymów antyoksydacyjnych, takich jak dysmutaza ponadtlenkowa (SOD) i katalaza, a także obniżenie poziomów markerów uszkodzeń oksydacyjnych DNA i peroksydacji lipidów (Asada </w:t>
      </w:r>
      <w:r w:rsidR="00B32DFD">
        <w:rPr>
          <w:sz w:val="22"/>
          <w:szCs w:val="22"/>
        </w:rPr>
        <w:t>i in.</w:t>
      </w:r>
      <w:r w:rsidRPr="00117AA5">
        <w:rPr>
          <w:sz w:val="22"/>
          <w:szCs w:val="22"/>
        </w:rPr>
        <w:t xml:space="preserve">, 2020; Bai </w:t>
      </w:r>
      <w:r w:rsidR="00B32DFD">
        <w:rPr>
          <w:sz w:val="22"/>
          <w:szCs w:val="22"/>
        </w:rPr>
        <w:t>i in.</w:t>
      </w:r>
      <w:r w:rsidRPr="00117AA5">
        <w:rPr>
          <w:sz w:val="22"/>
          <w:szCs w:val="22"/>
        </w:rPr>
        <w:t>, 2022).</w:t>
      </w:r>
    </w:p>
    <w:p w14:paraId="7A0531CA" w14:textId="051E3BA5" w:rsidR="00117AA5" w:rsidRPr="00117AA5" w:rsidRDefault="00117AA5" w:rsidP="00717128">
      <w:pPr>
        <w:spacing w:line="288" w:lineRule="auto"/>
        <w:jc w:val="both"/>
        <w:rPr>
          <w:sz w:val="22"/>
          <w:szCs w:val="22"/>
        </w:rPr>
      </w:pPr>
      <w:r w:rsidRPr="00117AA5">
        <w:rPr>
          <w:sz w:val="22"/>
          <w:szCs w:val="22"/>
        </w:rPr>
        <w:t>Wyniki badań sugerują także działanie przeciwzapalne wodoru molekularnego poprzez ograniczenie ekspresji cytokin prozapalnych, takich jak TNF</w:t>
      </w:r>
      <w:r w:rsidRPr="00117AA5">
        <w:rPr>
          <w:sz w:val="22"/>
          <w:szCs w:val="22"/>
        </w:rPr>
        <w:noBreakHyphen/>
        <w:t>α, IL</w:t>
      </w:r>
      <w:r w:rsidRPr="00117AA5">
        <w:rPr>
          <w:sz w:val="22"/>
          <w:szCs w:val="22"/>
        </w:rPr>
        <w:noBreakHyphen/>
        <w:t>6 czy NF</w:t>
      </w:r>
      <w:r w:rsidRPr="00117AA5">
        <w:rPr>
          <w:sz w:val="22"/>
          <w:szCs w:val="22"/>
        </w:rPr>
        <w:noBreakHyphen/>
        <w:t xml:space="preserve">κB (Peng </w:t>
      </w:r>
      <w:r w:rsidR="00B32DFD">
        <w:rPr>
          <w:sz w:val="22"/>
          <w:szCs w:val="22"/>
        </w:rPr>
        <w:t>i in.</w:t>
      </w:r>
      <w:r w:rsidRPr="00117AA5">
        <w:rPr>
          <w:sz w:val="22"/>
          <w:szCs w:val="22"/>
        </w:rPr>
        <w:t xml:space="preserve">, 2022; Sim </w:t>
      </w:r>
      <w:r w:rsidR="00B32DFD">
        <w:rPr>
          <w:sz w:val="22"/>
          <w:szCs w:val="22"/>
        </w:rPr>
        <w:t>i in.</w:t>
      </w:r>
      <w:r w:rsidRPr="00117AA5">
        <w:rPr>
          <w:sz w:val="22"/>
          <w:szCs w:val="22"/>
        </w:rPr>
        <w:t xml:space="preserve">, 2020). Korzystne efekty obserwowano m.in. w modelach chorób przewodu pokarmowego oraz reumatoidalnego zapalenia stawów (Song </w:t>
      </w:r>
      <w:r w:rsidR="00B32DFD">
        <w:rPr>
          <w:sz w:val="22"/>
          <w:szCs w:val="22"/>
        </w:rPr>
        <w:t>i in.</w:t>
      </w:r>
      <w:r w:rsidRPr="00117AA5">
        <w:rPr>
          <w:sz w:val="22"/>
          <w:szCs w:val="22"/>
        </w:rPr>
        <w:t>, 2021; ).</w:t>
      </w:r>
    </w:p>
    <w:p w14:paraId="3453F956" w14:textId="4EB1D2F0" w:rsidR="00117AA5" w:rsidRPr="00117AA5" w:rsidRDefault="00117AA5" w:rsidP="00717128">
      <w:pPr>
        <w:spacing w:line="288" w:lineRule="auto"/>
        <w:jc w:val="both"/>
        <w:rPr>
          <w:sz w:val="22"/>
          <w:szCs w:val="22"/>
        </w:rPr>
      </w:pPr>
      <w:r w:rsidRPr="00117AA5">
        <w:rPr>
          <w:sz w:val="22"/>
          <w:szCs w:val="22"/>
        </w:rPr>
        <w:t xml:space="preserve">Badania kliniczne wskazują, że długotrwałe spożywanie wody o wysokiej zawartości H₂ może korzystnie wpływać na parametry metaboliczne (LeBaron </w:t>
      </w:r>
      <w:r w:rsidR="00B32DFD">
        <w:rPr>
          <w:sz w:val="22"/>
          <w:szCs w:val="22"/>
        </w:rPr>
        <w:t>i in.</w:t>
      </w:r>
      <w:r w:rsidRPr="00117AA5">
        <w:rPr>
          <w:sz w:val="22"/>
          <w:szCs w:val="22"/>
        </w:rPr>
        <w:t>, 2020). U osób z zespołem metabolicznym obserwowano obniżenie poziomu cholesterolu, glukozy oraz markerów stanu zapalnego po regularnym spożyciu wody zawierającej ponad 5 ppm H₂ przez 24 tygodnie.</w:t>
      </w:r>
    </w:p>
    <w:p w14:paraId="149121E6" w14:textId="675CF613" w:rsidR="00117AA5" w:rsidRPr="00117AA5" w:rsidRDefault="00117AA5" w:rsidP="00717128">
      <w:pPr>
        <w:spacing w:line="288" w:lineRule="auto"/>
        <w:jc w:val="both"/>
        <w:rPr>
          <w:sz w:val="22"/>
          <w:szCs w:val="22"/>
        </w:rPr>
      </w:pPr>
      <w:r w:rsidRPr="00117AA5">
        <w:rPr>
          <w:sz w:val="22"/>
          <w:szCs w:val="22"/>
        </w:rPr>
        <w:lastRenderedPageBreak/>
        <w:t xml:space="preserve">Badania prowadzone w grupach osób aktywnych fizycznie sugerują natomiast, że woda bogata w wodór może ograniczać wzrost markerów stresu oksydacyjnego i wspierać regenerację organizmu po intensywnym wysiłku (Stolecka-Warzecha </w:t>
      </w:r>
      <w:r w:rsidR="00B32DFD">
        <w:rPr>
          <w:sz w:val="22"/>
          <w:szCs w:val="22"/>
        </w:rPr>
        <w:t>i in.</w:t>
      </w:r>
      <w:r w:rsidRPr="00117AA5">
        <w:rPr>
          <w:sz w:val="22"/>
          <w:szCs w:val="22"/>
        </w:rPr>
        <w:t xml:space="preserve">, 2026; Zhou </w:t>
      </w:r>
      <w:r w:rsidR="00B32DFD">
        <w:rPr>
          <w:sz w:val="22"/>
          <w:szCs w:val="22"/>
        </w:rPr>
        <w:t>i in.</w:t>
      </w:r>
      <w:r w:rsidRPr="00117AA5">
        <w:rPr>
          <w:sz w:val="22"/>
          <w:szCs w:val="22"/>
        </w:rPr>
        <w:t>, 2024).</w:t>
      </w:r>
    </w:p>
    <w:p w14:paraId="1ECE3D3D" w14:textId="77777777" w:rsidR="00117AA5" w:rsidRPr="00117AA5" w:rsidRDefault="00117AA5" w:rsidP="00717128">
      <w:pPr>
        <w:spacing w:line="288" w:lineRule="auto"/>
        <w:jc w:val="both"/>
        <w:rPr>
          <w:sz w:val="22"/>
          <w:szCs w:val="22"/>
        </w:rPr>
      </w:pPr>
      <w:r w:rsidRPr="00117AA5">
        <w:rPr>
          <w:sz w:val="22"/>
          <w:szCs w:val="22"/>
        </w:rPr>
        <w:t>Analiza dostępnych danych wskazuje, że skuteczność biologiczna wody wodorowej zależy przede wszystkim od rzeczywistej zawartości rozpuszczonego wodoru oraz czasu stosowania. Najbardziej wyraźne efekty obserwowano przy wyższych stężeniach H₂ i długotrwałym spożyciu.</w:t>
      </w:r>
    </w:p>
    <w:p w14:paraId="691007FA" w14:textId="2A29ADB8" w:rsidR="00117AA5" w:rsidRPr="00117AA5" w:rsidRDefault="00117AA5" w:rsidP="00717128">
      <w:pPr>
        <w:spacing w:line="288" w:lineRule="auto"/>
        <w:jc w:val="both"/>
        <w:rPr>
          <w:sz w:val="22"/>
          <w:szCs w:val="22"/>
        </w:rPr>
      </w:pPr>
      <w:r w:rsidRPr="00117AA5">
        <w:rPr>
          <w:sz w:val="22"/>
          <w:szCs w:val="22"/>
        </w:rPr>
        <w:t xml:space="preserve">Część metaanaliz wskazuje jednak, że krótkotrwałe interwencje lub niskie stężenia wodoru mogą nie prowadzić do istotnych zmian wszystkich parametrów biochemicznych (Li </w:t>
      </w:r>
      <w:r w:rsidR="00B32DFD">
        <w:rPr>
          <w:sz w:val="22"/>
          <w:szCs w:val="22"/>
        </w:rPr>
        <w:t>i in.</w:t>
      </w:r>
      <w:r w:rsidRPr="00117AA5">
        <w:rPr>
          <w:sz w:val="22"/>
          <w:szCs w:val="22"/>
        </w:rPr>
        <w:t>, 2024). Podkreśla się również, że samo zasadowe pH lub ujemny ORP</w:t>
      </w:r>
      <w:r w:rsidR="00F32610">
        <w:rPr>
          <w:sz w:val="22"/>
          <w:szCs w:val="22"/>
        </w:rPr>
        <w:t>, bez obecności wodoru molekularnego,</w:t>
      </w:r>
      <w:r w:rsidRPr="00117AA5">
        <w:rPr>
          <w:sz w:val="22"/>
          <w:szCs w:val="22"/>
        </w:rPr>
        <w:t xml:space="preserve"> nie są uznawane za główny czynnik odpowiedzialny za potencjalne efekty biologiczne (LeBaron </w:t>
      </w:r>
      <w:r w:rsidR="00BC5859">
        <w:rPr>
          <w:sz w:val="22"/>
          <w:szCs w:val="22"/>
        </w:rPr>
        <w:t>i in.</w:t>
      </w:r>
      <w:r w:rsidRPr="00117AA5">
        <w:rPr>
          <w:sz w:val="22"/>
          <w:szCs w:val="22"/>
        </w:rPr>
        <w:t>, 2022).</w:t>
      </w:r>
    </w:p>
    <w:p w14:paraId="270EF237" w14:textId="77777777" w:rsidR="00117AA5" w:rsidRPr="00117AA5" w:rsidRDefault="00117AA5" w:rsidP="00717128">
      <w:pPr>
        <w:spacing w:line="288" w:lineRule="auto"/>
        <w:jc w:val="both"/>
        <w:rPr>
          <w:b/>
          <w:bCs/>
          <w:sz w:val="22"/>
          <w:szCs w:val="22"/>
        </w:rPr>
      </w:pPr>
      <w:r w:rsidRPr="00117AA5">
        <w:rPr>
          <w:b/>
          <w:bCs/>
          <w:sz w:val="22"/>
          <w:szCs w:val="22"/>
        </w:rPr>
        <w:t>Podsumowanie</w:t>
      </w:r>
    </w:p>
    <w:p w14:paraId="036EED25" w14:textId="5268D494" w:rsidR="00117AA5" w:rsidRPr="00117AA5" w:rsidRDefault="00117AA5" w:rsidP="00717128">
      <w:pPr>
        <w:spacing w:line="288" w:lineRule="auto"/>
        <w:jc w:val="both"/>
        <w:rPr>
          <w:sz w:val="22"/>
          <w:szCs w:val="22"/>
        </w:rPr>
      </w:pPr>
      <w:r w:rsidRPr="00117AA5">
        <w:rPr>
          <w:sz w:val="22"/>
          <w:szCs w:val="22"/>
        </w:rPr>
        <w:t>Dostępne dane naukowe sugerują, że regularne spożywanie wody bogatej w wodór molekularny może wspierać równowagę antyoksydacyjną organizmu poprzez ograniczanie stresu oksydacyjnego i</w:t>
      </w:r>
      <w:r w:rsidR="007F0FA6">
        <w:rPr>
          <w:sz w:val="22"/>
          <w:szCs w:val="22"/>
        </w:rPr>
        <w:t> </w:t>
      </w:r>
      <w:r w:rsidRPr="00117AA5">
        <w:rPr>
          <w:sz w:val="22"/>
          <w:szCs w:val="22"/>
        </w:rPr>
        <w:t>modulację procesów zapalnych. Potencjalne korzyści obejmują wpływ na markery stanu zapalnego, parametry metaboliczne oraz regenerację powysiłkową.</w:t>
      </w:r>
    </w:p>
    <w:p w14:paraId="518C4AA7" w14:textId="77777777" w:rsidR="00117AA5" w:rsidRPr="00117AA5" w:rsidRDefault="00117AA5" w:rsidP="00717128">
      <w:pPr>
        <w:spacing w:line="288" w:lineRule="auto"/>
        <w:jc w:val="both"/>
        <w:rPr>
          <w:sz w:val="22"/>
          <w:szCs w:val="22"/>
        </w:rPr>
      </w:pPr>
      <w:r w:rsidRPr="00117AA5">
        <w:rPr>
          <w:sz w:val="22"/>
          <w:szCs w:val="22"/>
        </w:rPr>
        <w:t>Największe znaczenie dla skuteczności biologicznej ma rzeczywista zawartość rozpuszczonego wodoru w wodzie, a nie wyłącznie wartość ORP czy zasadowego pH. Jednocześnie konieczne są dalsze, wieloośrodkowe badania kliniczne prowadzone na większych grupach pacjentów w celu pełnego potwierdzenia długoterminowych korzyści zdrowotnych związanych ze spożyciem wody bogatej w wodór molekularny.</w:t>
      </w:r>
    </w:p>
    <w:p w14:paraId="1CB97AE4" w14:textId="04B931BE" w:rsidR="00852B8B" w:rsidRDefault="00117AA5" w:rsidP="00717128">
      <w:pPr>
        <w:spacing w:line="288" w:lineRule="auto"/>
        <w:jc w:val="both"/>
        <w:rPr>
          <w:b/>
          <w:bCs/>
          <w:sz w:val="22"/>
          <w:szCs w:val="22"/>
        </w:rPr>
      </w:pPr>
      <w:r w:rsidRPr="00117AA5">
        <w:rPr>
          <w:b/>
          <w:bCs/>
          <w:sz w:val="22"/>
          <w:szCs w:val="22"/>
        </w:rPr>
        <w:t>Bibliografia</w:t>
      </w:r>
    </w:p>
    <w:p w14:paraId="68952BB7" w14:textId="5F7400E1" w:rsidR="00B32DFD" w:rsidRDefault="00B32DFD" w:rsidP="00B32DFD">
      <w:pPr>
        <w:spacing w:after="0" w:line="288" w:lineRule="auto"/>
        <w:jc w:val="both"/>
        <w:rPr>
          <w:sz w:val="22"/>
          <w:szCs w:val="22"/>
          <w:lang w:val="en-GB"/>
        </w:rPr>
      </w:pPr>
      <w:r w:rsidRPr="00217899">
        <w:rPr>
          <w:sz w:val="22"/>
          <w:szCs w:val="22"/>
        </w:rPr>
        <w:t xml:space="preserve">Asada, R. i in. </w:t>
      </w:r>
      <w:r w:rsidRPr="00B32DFD">
        <w:rPr>
          <w:i/>
          <w:iCs/>
          <w:sz w:val="22"/>
          <w:szCs w:val="22"/>
          <w:lang w:val="en-GB"/>
        </w:rPr>
        <w:t>Molecular Sciences, 25</w:t>
      </w:r>
      <w:r w:rsidRPr="00B32DFD">
        <w:rPr>
          <w:sz w:val="22"/>
          <w:szCs w:val="22"/>
          <w:lang w:val="en-GB"/>
        </w:rPr>
        <w:t xml:space="preserve">. </w:t>
      </w:r>
    </w:p>
    <w:p w14:paraId="25E26AFA" w14:textId="5A0BFF16" w:rsidR="00B32DFD" w:rsidRDefault="00B32DFD" w:rsidP="00B32DFD">
      <w:pPr>
        <w:spacing w:after="0" w:line="288" w:lineRule="auto"/>
        <w:jc w:val="both"/>
        <w:rPr>
          <w:sz w:val="22"/>
          <w:szCs w:val="22"/>
          <w:lang w:val="en-GB"/>
        </w:rPr>
      </w:pPr>
      <w:r w:rsidRPr="00B32DFD">
        <w:rPr>
          <w:sz w:val="22"/>
          <w:szCs w:val="22"/>
          <w:lang w:val="en-GB"/>
        </w:rPr>
        <w:t xml:space="preserve">Bai, Y., </w:t>
      </w:r>
      <w:r>
        <w:rPr>
          <w:sz w:val="22"/>
          <w:szCs w:val="22"/>
          <w:lang w:val="en-GB"/>
        </w:rPr>
        <w:t>I in.</w:t>
      </w:r>
      <w:r w:rsidRPr="00B32DFD">
        <w:rPr>
          <w:sz w:val="22"/>
          <w:szCs w:val="22"/>
          <w:lang w:val="en-GB"/>
        </w:rPr>
        <w:t xml:space="preserve">. (2022). </w:t>
      </w:r>
      <w:r w:rsidRPr="00B32DFD">
        <w:rPr>
          <w:i/>
          <w:iCs/>
          <w:sz w:val="22"/>
          <w:szCs w:val="22"/>
          <w:lang w:val="en-GB"/>
        </w:rPr>
        <w:t>Annals of Translational Medicine, 10</w:t>
      </w:r>
      <w:r w:rsidRPr="00B32DFD">
        <w:rPr>
          <w:sz w:val="22"/>
          <w:szCs w:val="22"/>
          <w:lang w:val="en-GB"/>
        </w:rPr>
        <w:t xml:space="preserve">. </w:t>
      </w:r>
    </w:p>
    <w:p w14:paraId="3E93E3F7" w14:textId="39E348FE" w:rsidR="00B32DFD" w:rsidRDefault="00B32DFD" w:rsidP="00717128">
      <w:pPr>
        <w:spacing w:after="0" w:line="288" w:lineRule="auto"/>
        <w:jc w:val="both"/>
        <w:rPr>
          <w:sz w:val="22"/>
          <w:szCs w:val="22"/>
          <w:lang w:val="en-GB"/>
        </w:rPr>
      </w:pPr>
      <w:r w:rsidRPr="00B32DFD">
        <w:rPr>
          <w:sz w:val="22"/>
          <w:szCs w:val="22"/>
          <w:lang w:val="en-GB"/>
        </w:rPr>
        <w:t xml:space="preserve">Franceschelli, S. </w:t>
      </w:r>
      <w:r>
        <w:rPr>
          <w:sz w:val="22"/>
          <w:szCs w:val="22"/>
          <w:lang w:val="en-GB"/>
        </w:rPr>
        <w:t>i in.</w:t>
      </w:r>
      <w:r w:rsidRPr="00B32DFD">
        <w:rPr>
          <w:sz w:val="22"/>
          <w:szCs w:val="22"/>
          <w:lang w:val="en-GB"/>
        </w:rPr>
        <w:t xml:space="preserve"> (2016). </w:t>
      </w:r>
      <w:r w:rsidRPr="00B32DFD">
        <w:rPr>
          <w:i/>
          <w:iCs/>
          <w:sz w:val="22"/>
          <w:szCs w:val="22"/>
          <w:lang w:val="en-GB"/>
        </w:rPr>
        <w:t>International Journal of Molecular Sciences, 17</w:t>
      </w:r>
      <w:r w:rsidRPr="00B32DFD">
        <w:rPr>
          <w:sz w:val="22"/>
          <w:szCs w:val="22"/>
          <w:lang w:val="en-GB"/>
        </w:rPr>
        <w:t xml:space="preserve">. </w:t>
      </w:r>
    </w:p>
    <w:p w14:paraId="183932FC" w14:textId="58D68DE2" w:rsidR="00117AA5" w:rsidRPr="00BC5859" w:rsidRDefault="00117AA5" w:rsidP="00717128">
      <w:pPr>
        <w:spacing w:after="0" w:line="288" w:lineRule="auto"/>
        <w:jc w:val="both"/>
        <w:rPr>
          <w:sz w:val="22"/>
          <w:szCs w:val="22"/>
          <w:lang w:val="en-GB"/>
        </w:rPr>
      </w:pPr>
      <w:r w:rsidRPr="00BC5859">
        <w:rPr>
          <w:sz w:val="22"/>
          <w:szCs w:val="22"/>
          <w:lang w:val="en-GB"/>
        </w:rPr>
        <w:t xml:space="preserve">LeBaron, T. </w:t>
      </w:r>
      <w:r w:rsidR="00B32DFD">
        <w:rPr>
          <w:sz w:val="22"/>
          <w:szCs w:val="22"/>
          <w:lang w:val="en-GB"/>
        </w:rPr>
        <w:t>i in</w:t>
      </w:r>
      <w:r w:rsidRPr="00BC5859">
        <w:rPr>
          <w:sz w:val="22"/>
          <w:szCs w:val="22"/>
          <w:lang w:val="en-GB"/>
        </w:rPr>
        <w:t>.</w:t>
      </w:r>
      <w:r w:rsidR="00BC5859">
        <w:rPr>
          <w:sz w:val="22"/>
          <w:szCs w:val="22"/>
          <w:lang w:val="en-GB"/>
        </w:rPr>
        <w:t>(2019)</w:t>
      </w:r>
      <w:r w:rsidRPr="00BC5859">
        <w:rPr>
          <w:sz w:val="22"/>
          <w:szCs w:val="22"/>
          <w:lang w:val="en-GB"/>
        </w:rPr>
        <w:t xml:space="preserve"> </w:t>
      </w:r>
      <w:r w:rsidRPr="00BC5859">
        <w:rPr>
          <w:i/>
          <w:iCs/>
          <w:sz w:val="22"/>
          <w:szCs w:val="22"/>
          <w:lang w:val="en-GB"/>
        </w:rPr>
        <w:t>Molecules, 24</w:t>
      </w:r>
      <w:r w:rsidRPr="00BC5859">
        <w:rPr>
          <w:sz w:val="22"/>
          <w:szCs w:val="22"/>
          <w:lang w:val="en-GB"/>
        </w:rPr>
        <w:t xml:space="preserve">. </w:t>
      </w:r>
    </w:p>
    <w:p w14:paraId="56C6C361" w14:textId="2844208B" w:rsidR="00852B8B" w:rsidRDefault="00117AA5" w:rsidP="00717128">
      <w:pPr>
        <w:spacing w:after="0" w:line="288" w:lineRule="auto"/>
        <w:jc w:val="both"/>
        <w:rPr>
          <w:sz w:val="22"/>
          <w:szCs w:val="22"/>
          <w:lang w:val="en-GB"/>
        </w:rPr>
      </w:pPr>
      <w:r w:rsidRPr="00B32DFD">
        <w:rPr>
          <w:sz w:val="22"/>
          <w:szCs w:val="22"/>
          <w:lang w:val="en-GB"/>
        </w:rPr>
        <w:t xml:space="preserve">LeBaron, T. </w:t>
      </w:r>
      <w:r w:rsidR="00B32DFD">
        <w:rPr>
          <w:sz w:val="22"/>
          <w:szCs w:val="22"/>
          <w:lang w:val="en-GB"/>
        </w:rPr>
        <w:t>i in</w:t>
      </w:r>
      <w:r w:rsidR="00B32DFD" w:rsidRPr="00B32DFD">
        <w:rPr>
          <w:sz w:val="22"/>
          <w:szCs w:val="22"/>
          <w:lang w:val="en-GB"/>
        </w:rPr>
        <w:t xml:space="preserve">. </w:t>
      </w:r>
      <w:r w:rsidRPr="00B32DFD">
        <w:rPr>
          <w:sz w:val="22"/>
          <w:szCs w:val="22"/>
          <w:lang w:val="en-GB"/>
        </w:rPr>
        <w:t xml:space="preserve">(2020). </w:t>
      </w:r>
      <w:r w:rsidRPr="00852B8B">
        <w:rPr>
          <w:i/>
          <w:iCs/>
          <w:sz w:val="22"/>
          <w:szCs w:val="22"/>
          <w:lang w:val="en-GB"/>
        </w:rPr>
        <w:t>Diabetes, Metabolic Syndrome and Obesity: Targets and Therapy, 13</w:t>
      </w:r>
      <w:r w:rsidRPr="00852B8B">
        <w:rPr>
          <w:sz w:val="22"/>
          <w:szCs w:val="22"/>
          <w:lang w:val="en-GB"/>
        </w:rPr>
        <w:t xml:space="preserve">, 889 - 896. </w:t>
      </w:r>
    </w:p>
    <w:p w14:paraId="45CCA91C" w14:textId="292E9B70" w:rsidR="00BC5859" w:rsidRDefault="00BC5859" w:rsidP="00717128">
      <w:pPr>
        <w:spacing w:after="0" w:line="288" w:lineRule="auto"/>
        <w:jc w:val="both"/>
        <w:rPr>
          <w:sz w:val="22"/>
          <w:szCs w:val="22"/>
          <w:lang w:val="en-GB"/>
        </w:rPr>
      </w:pPr>
      <w:r w:rsidRPr="00BC5859">
        <w:rPr>
          <w:sz w:val="22"/>
          <w:szCs w:val="22"/>
          <w:lang w:val="en-GB"/>
        </w:rPr>
        <w:t xml:space="preserve">LeBaron, T., </w:t>
      </w:r>
      <w:r>
        <w:rPr>
          <w:sz w:val="22"/>
          <w:szCs w:val="22"/>
          <w:lang w:val="en-GB"/>
        </w:rPr>
        <w:t xml:space="preserve"> in.</w:t>
      </w:r>
      <w:r w:rsidRPr="00BC5859">
        <w:rPr>
          <w:sz w:val="22"/>
          <w:szCs w:val="22"/>
          <w:lang w:val="en-GB"/>
        </w:rPr>
        <w:t xml:space="preserve"> (2022). . </w:t>
      </w:r>
      <w:r w:rsidRPr="00BC5859">
        <w:rPr>
          <w:i/>
          <w:iCs/>
          <w:sz w:val="22"/>
          <w:szCs w:val="22"/>
          <w:lang w:val="en-GB"/>
        </w:rPr>
        <w:t>International Journal of Molecular Sciences, 23</w:t>
      </w:r>
      <w:r w:rsidRPr="00BC5859">
        <w:rPr>
          <w:sz w:val="22"/>
          <w:szCs w:val="22"/>
          <w:lang w:val="en-GB"/>
        </w:rPr>
        <w:t>.</w:t>
      </w:r>
    </w:p>
    <w:p w14:paraId="1112B483" w14:textId="47E8115A" w:rsidR="00BC5859" w:rsidRPr="00117AA5" w:rsidRDefault="00BC5859" w:rsidP="00717128">
      <w:pPr>
        <w:spacing w:after="0" w:line="288" w:lineRule="auto"/>
        <w:jc w:val="both"/>
        <w:rPr>
          <w:sz w:val="22"/>
          <w:szCs w:val="22"/>
          <w:lang w:val="en-GB"/>
        </w:rPr>
      </w:pPr>
      <w:r w:rsidRPr="00852B8B">
        <w:rPr>
          <w:sz w:val="22"/>
          <w:szCs w:val="22"/>
          <w:lang w:val="en-GB"/>
        </w:rPr>
        <w:t>Li, Y</w:t>
      </w:r>
      <w:r>
        <w:rPr>
          <w:sz w:val="22"/>
          <w:szCs w:val="22"/>
          <w:lang w:val="en-GB"/>
        </w:rPr>
        <w:t xml:space="preserve"> i in</w:t>
      </w:r>
      <w:r w:rsidRPr="00B32DFD">
        <w:rPr>
          <w:sz w:val="22"/>
          <w:szCs w:val="22"/>
          <w:lang w:val="en-GB"/>
        </w:rPr>
        <w:t xml:space="preserve">. </w:t>
      </w:r>
      <w:r w:rsidRPr="00852B8B">
        <w:rPr>
          <w:sz w:val="22"/>
          <w:szCs w:val="22"/>
          <w:lang w:val="en-GB"/>
        </w:rPr>
        <w:t xml:space="preserve">(2024). </w:t>
      </w:r>
      <w:r w:rsidRPr="00852B8B">
        <w:rPr>
          <w:i/>
          <w:iCs/>
          <w:sz w:val="22"/>
          <w:szCs w:val="22"/>
          <w:lang w:val="en-GB"/>
        </w:rPr>
        <w:t>Frontiers in Nutrition, 11</w:t>
      </w:r>
      <w:r w:rsidRPr="00852B8B">
        <w:rPr>
          <w:sz w:val="22"/>
          <w:szCs w:val="22"/>
          <w:lang w:val="en-GB"/>
        </w:rPr>
        <w:t xml:space="preserve">. </w:t>
      </w:r>
    </w:p>
    <w:p w14:paraId="303AB1E1" w14:textId="2F25085F" w:rsidR="00852B8B" w:rsidRPr="00852B8B" w:rsidRDefault="00852B8B" w:rsidP="00717128">
      <w:pPr>
        <w:spacing w:after="0" w:line="288" w:lineRule="auto"/>
        <w:jc w:val="both"/>
        <w:rPr>
          <w:sz w:val="22"/>
          <w:szCs w:val="22"/>
          <w:lang w:val="en-GB"/>
        </w:rPr>
      </w:pPr>
      <w:r w:rsidRPr="00117AA5">
        <w:rPr>
          <w:sz w:val="22"/>
          <w:szCs w:val="22"/>
          <w:lang w:val="en-GB"/>
        </w:rPr>
        <w:t>Ohta, S. (2012).</w:t>
      </w:r>
      <w:r w:rsidRPr="00852B8B">
        <w:rPr>
          <w:i/>
          <w:iCs/>
          <w:sz w:val="22"/>
          <w:szCs w:val="22"/>
          <w:lang w:val="en-GB"/>
        </w:rPr>
        <w:t>Biochimica et biophysica acta, 1820 5</w:t>
      </w:r>
      <w:r w:rsidRPr="00852B8B">
        <w:rPr>
          <w:sz w:val="22"/>
          <w:szCs w:val="22"/>
          <w:lang w:val="en-GB"/>
        </w:rPr>
        <w:t xml:space="preserve">, 586-94. </w:t>
      </w:r>
    </w:p>
    <w:p w14:paraId="1C581676" w14:textId="685BE3EE" w:rsidR="00852B8B" w:rsidRPr="007F0FA6" w:rsidRDefault="00852B8B" w:rsidP="00717128">
      <w:pPr>
        <w:spacing w:after="0" w:line="288" w:lineRule="auto"/>
        <w:jc w:val="both"/>
        <w:rPr>
          <w:sz w:val="22"/>
          <w:szCs w:val="22"/>
          <w:lang w:val="en-GB"/>
        </w:rPr>
      </w:pPr>
      <w:r w:rsidRPr="00852B8B">
        <w:rPr>
          <w:sz w:val="22"/>
          <w:szCs w:val="22"/>
          <w:lang w:val="en-GB"/>
        </w:rPr>
        <w:t>Peng, J</w:t>
      </w:r>
      <w:r w:rsidR="00B32DFD">
        <w:rPr>
          <w:sz w:val="22"/>
          <w:szCs w:val="22"/>
          <w:lang w:val="en-GB"/>
        </w:rPr>
        <w:t>. i in</w:t>
      </w:r>
      <w:r w:rsidR="00B32DFD" w:rsidRPr="00B32DFD">
        <w:rPr>
          <w:sz w:val="22"/>
          <w:szCs w:val="22"/>
          <w:lang w:val="en-GB"/>
        </w:rPr>
        <w:t xml:space="preserve">. </w:t>
      </w:r>
      <w:r w:rsidRPr="00852B8B">
        <w:rPr>
          <w:sz w:val="22"/>
          <w:szCs w:val="22"/>
          <w:lang w:val="en-GB"/>
        </w:rPr>
        <w:t xml:space="preserve">(2022). </w:t>
      </w:r>
      <w:r w:rsidRPr="00852B8B">
        <w:rPr>
          <w:i/>
          <w:iCs/>
          <w:sz w:val="22"/>
          <w:szCs w:val="22"/>
          <w:lang w:val="en-GB"/>
        </w:rPr>
        <w:t>Veterinary Sciences, 9</w:t>
      </w:r>
    </w:p>
    <w:p w14:paraId="35AA202A" w14:textId="48D9D8B8" w:rsidR="00117AA5" w:rsidRDefault="00117AA5" w:rsidP="00717128">
      <w:pPr>
        <w:spacing w:after="0" w:line="288" w:lineRule="auto"/>
        <w:jc w:val="both"/>
        <w:rPr>
          <w:sz w:val="22"/>
          <w:szCs w:val="22"/>
          <w:lang w:val="en-GB"/>
        </w:rPr>
      </w:pPr>
      <w:r w:rsidRPr="00852B8B">
        <w:rPr>
          <w:sz w:val="22"/>
          <w:szCs w:val="22"/>
          <w:lang w:val="en-GB"/>
        </w:rPr>
        <w:t>Sim, M.</w:t>
      </w:r>
      <w:r w:rsidR="00B32DFD">
        <w:rPr>
          <w:sz w:val="22"/>
          <w:szCs w:val="22"/>
          <w:lang w:val="en-GB"/>
        </w:rPr>
        <w:t>.</w:t>
      </w:r>
      <w:r w:rsidRPr="00852B8B">
        <w:rPr>
          <w:sz w:val="22"/>
          <w:szCs w:val="22"/>
          <w:lang w:val="en-GB"/>
        </w:rPr>
        <w:t xml:space="preserve">, Kim, C., Shon, W., Lee, Y., Choi, E., &amp; Shin, D. (2020). </w:t>
      </w:r>
      <w:r w:rsidRPr="00852B8B">
        <w:rPr>
          <w:i/>
          <w:iCs/>
          <w:sz w:val="22"/>
          <w:szCs w:val="22"/>
          <w:lang w:val="en-GB"/>
        </w:rPr>
        <w:t>Scientific Reports, 10</w:t>
      </w:r>
      <w:r w:rsidRPr="00852B8B">
        <w:rPr>
          <w:sz w:val="22"/>
          <w:szCs w:val="22"/>
          <w:lang w:val="en-GB"/>
        </w:rPr>
        <w:t xml:space="preserve">. </w:t>
      </w:r>
    </w:p>
    <w:p w14:paraId="0C47CC18" w14:textId="70AEECFA" w:rsidR="00BC5859" w:rsidRPr="00852B8B" w:rsidRDefault="00BC5859" w:rsidP="00717128">
      <w:pPr>
        <w:spacing w:after="0" w:line="288" w:lineRule="auto"/>
        <w:jc w:val="both"/>
        <w:rPr>
          <w:sz w:val="22"/>
          <w:szCs w:val="22"/>
          <w:lang w:val="en-GB"/>
        </w:rPr>
      </w:pPr>
      <w:r w:rsidRPr="00217899">
        <w:rPr>
          <w:sz w:val="22"/>
          <w:szCs w:val="22"/>
          <w:lang w:val="en-GB"/>
        </w:rPr>
        <w:t xml:space="preserve">Stolecka-Warzecha, A., i in.  (2026). </w:t>
      </w:r>
      <w:r w:rsidRPr="00BC5859">
        <w:rPr>
          <w:i/>
          <w:iCs/>
          <w:sz w:val="22"/>
          <w:szCs w:val="22"/>
          <w:lang w:val="en-GB"/>
        </w:rPr>
        <w:t>Nutrients, 18</w:t>
      </w:r>
      <w:r w:rsidRPr="00BC5859">
        <w:rPr>
          <w:sz w:val="22"/>
          <w:szCs w:val="22"/>
          <w:lang w:val="en-GB"/>
        </w:rPr>
        <w:t xml:space="preserve">. </w:t>
      </w:r>
    </w:p>
    <w:p w14:paraId="2815629A" w14:textId="1C1BD08B" w:rsidR="00117AA5" w:rsidRPr="007F0FA6" w:rsidRDefault="00117AA5" w:rsidP="00717128">
      <w:pPr>
        <w:spacing w:after="0" w:line="288" w:lineRule="auto"/>
        <w:jc w:val="both"/>
        <w:rPr>
          <w:sz w:val="22"/>
          <w:szCs w:val="22"/>
          <w:lang w:val="en-GB"/>
        </w:rPr>
      </w:pPr>
      <w:r w:rsidRPr="007F0FA6">
        <w:rPr>
          <w:sz w:val="22"/>
          <w:szCs w:val="22"/>
          <w:lang w:val="en-GB"/>
        </w:rPr>
        <w:t>Trinh, T</w:t>
      </w:r>
      <w:r w:rsidR="00B32DFD">
        <w:rPr>
          <w:sz w:val="22"/>
          <w:szCs w:val="22"/>
          <w:lang w:val="en-GB"/>
        </w:rPr>
        <w:t>. i in</w:t>
      </w:r>
      <w:r w:rsidR="00B32DFD" w:rsidRPr="00B32DFD">
        <w:rPr>
          <w:sz w:val="22"/>
          <w:szCs w:val="22"/>
          <w:lang w:val="en-GB"/>
        </w:rPr>
        <w:t>.</w:t>
      </w:r>
      <w:r w:rsidRPr="007F0FA6">
        <w:rPr>
          <w:sz w:val="22"/>
          <w:szCs w:val="22"/>
          <w:lang w:val="en-GB"/>
        </w:rPr>
        <w:t xml:space="preserve"> </w:t>
      </w:r>
      <w:r w:rsidR="00852B8B" w:rsidRPr="007F0FA6">
        <w:rPr>
          <w:sz w:val="22"/>
          <w:szCs w:val="22"/>
          <w:lang w:val="en-GB"/>
        </w:rPr>
        <w:t>Processes , 9, 2062.</w:t>
      </w:r>
    </w:p>
    <w:p w14:paraId="33208466" w14:textId="1BC99D46" w:rsidR="00852B8B" w:rsidRPr="00852B8B" w:rsidRDefault="00852B8B" w:rsidP="00717128">
      <w:pPr>
        <w:spacing w:after="0" w:line="288" w:lineRule="auto"/>
        <w:jc w:val="both"/>
        <w:rPr>
          <w:sz w:val="22"/>
          <w:szCs w:val="22"/>
          <w:lang w:val="en-GB"/>
        </w:rPr>
      </w:pPr>
      <w:r w:rsidRPr="007F0FA6">
        <w:rPr>
          <w:sz w:val="22"/>
          <w:szCs w:val="22"/>
          <w:lang w:val="en-GB"/>
        </w:rPr>
        <w:t>Hu, D</w:t>
      </w:r>
      <w:r w:rsidR="00B32DFD">
        <w:rPr>
          <w:sz w:val="22"/>
          <w:szCs w:val="22"/>
          <w:lang w:val="en-GB"/>
        </w:rPr>
        <w:t>. i in</w:t>
      </w:r>
      <w:r w:rsidR="00B32DFD" w:rsidRPr="00B32DFD">
        <w:rPr>
          <w:sz w:val="22"/>
          <w:szCs w:val="22"/>
          <w:lang w:val="en-GB"/>
        </w:rPr>
        <w:t xml:space="preserve">. </w:t>
      </w:r>
      <w:r w:rsidRPr="007F0FA6">
        <w:rPr>
          <w:sz w:val="22"/>
          <w:szCs w:val="22"/>
          <w:lang w:val="en-GB"/>
        </w:rPr>
        <w:t xml:space="preserve"> (2024). </w:t>
      </w:r>
      <w:r w:rsidRPr="00852B8B">
        <w:rPr>
          <w:i/>
          <w:iCs/>
          <w:sz w:val="22"/>
          <w:szCs w:val="22"/>
          <w:lang w:val="en-GB"/>
        </w:rPr>
        <w:t>Frontiers in Aging Neuroscience, 16</w:t>
      </w:r>
    </w:p>
    <w:p w14:paraId="28F679DC" w14:textId="645AAFDD" w:rsidR="00B32DFD" w:rsidRDefault="00B32DFD" w:rsidP="00717128">
      <w:pPr>
        <w:spacing w:after="0" w:line="288" w:lineRule="auto"/>
        <w:jc w:val="both"/>
        <w:rPr>
          <w:sz w:val="22"/>
          <w:szCs w:val="22"/>
          <w:lang w:val="en-GB"/>
        </w:rPr>
      </w:pPr>
      <w:r w:rsidRPr="00B32DFD">
        <w:rPr>
          <w:sz w:val="22"/>
          <w:szCs w:val="22"/>
          <w:lang w:val="en-GB"/>
        </w:rPr>
        <w:t xml:space="preserve">Song, </w:t>
      </w:r>
      <w:r w:rsidR="00BC5859">
        <w:rPr>
          <w:sz w:val="22"/>
          <w:szCs w:val="22"/>
          <w:lang w:val="en-GB"/>
        </w:rPr>
        <w:t>i</w:t>
      </w:r>
      <w:r>
        <w:rPr>
          <w:sz w:val="22"/>
          <w:szCs w:val="22"/>
          <w:lang w:val="en-GB"/>
        </w:rPr>
        <w:t xml:space="preserve"> in. </w:t>
      </w:r>
      <w:r w:rsidRPr="00B32DFD">
        <w:rPr>
          <w:sz w:val="22"/>
          <w:szCs w:val="22"/>
          <w:lang w:val="en-GB"/>
        </w:rPr>
        <w:t xml:space="preserve">(2021). </w:t>
      </w:r>
      <w:r w:rsidRPr="00B32DFD">
        <w:rPr>
          <w:i/>
          <w:iCs/>
          <w:sz w:val="22"/>
          <w:szCs w:val="22"/>
          <w:lang w:val="en-GB"/>
        </w:rPr>
        <w:t>Advances in medical sciences, 67 1</w:t>
      </w:r>
      <w:r w:rsidRPr="00B32DFD">
        <w:rPr>
          <w:sz w:val="22"/>
          <w:szCs w:val="22"/>
          <w:lang w:val="en-GB"/>
        </w:rPr>
        <w:t xml:space="preserve">, 29-38. </w:t>
      </w:r>
    </w:p>
    <w:p w14:paraId="29A9357C" w14:textId="06199A43" w:rsidR="00BC5859" w:rsidRPr="00852B8B" w:rsidRDefault="00BC5859" w:rsidP="00717128">
      <w:pPr>
        <w:spacing w:after="0" w:line="288" w:lineRule="auto"/>
        <w:jc w:val="both"/>
        <w:rPr>
          <w:sz w:val="22"/>
          <w:szCs w:val="22"/>
          <w:lang w:val="en-GB"/>
        </w:rPr>
      </w:pPr>
      <w:r w:rsidRPr="00BC5859">
        <w:rPr>
          <w:sz w:val="22"/>
          <w:szCs w:val="22"/>
          <w:lang w:val="en-GB"/>
        </w:rPr>
        <w:t>Zhou,</w:t>
      </w:r>
      <w:r>
        <w:rPr>
          <w:sz w:val="22"/>
          <w:szCs w:val="22"/>
          <w:lang w:val="en-GB"/>
        </w:rPr>
        <w:t xml:space="preserve"> Q.</w:t>
      </w:r>
      <w:r w:rsidRPr="00BC5859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i in.</w:t>
      </w:r>
      <w:r w:rsidRPr="00BC5859">
        <w:rPr>
          <w:sz w:val="22"/>
          <w:szCs w:val="22"/>
          <w:lang w:val="en-GB"/>
        </w:rPr>
        <w:t xml:space="preserve"> (2024). </w:t>
      </w:r>
      <w:r w:rsidRPr="00BC5859">
        <w:rPr>
          <w:i/>
          <w:iCs/>
          <w:sz w:val="22"/>
          <w:szCs w:val="22"/>
          <w:lang w:val="en-GB"/>
        </w:rPr>
        <w:t>Metabolites, 14</w:t>
      </w:r>
      <w:r w:rsidRPr="00BC5859">
        <w:rPr>
          <w:sz w:val="22"/>
          <w:szCs w:val="22"/>
          <w:lang w:val="en-GB"/>
        </w:rPr>
        <w:t xml:space="preserve">. </w:t>
      </w:r>
    </w:p>
    <w:sectPr w:rsidR="00BC5859" w:rsidRPr="00852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E7D5C"/>
    <w:multiLevelType w:val="multilevel"/>
    <w:tmpl w:val="0E7A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E2434B"/>
    <w:multiLevelType w:val="hybridMultilevel"/>
    <w:tmpl w:val="B70E0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254229"/>
    <w:multiLevelType w:val="hybridMultilevel"/>
    <w:tmpl w:val="AA7247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1878594">
    <w:abstractNumId w:val="0"/>
  </w:num>
  <w:num w:numId="2" w16cid:durableId="2012485257">
    <w:abstractNumId w:val="1"/>
  </w:num>
  <w:num w:numId="3" w16cid:durableId="53703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A5"/>
    <w:rsid w:val="00117AA5"/>
    <w:rsid w:val="00217899"/>
    <w:rsid w:val="0027434A"/>
    <w:rsid w:val="0038173D"/>
    <w:rsid w:val="005540C4"/>
    <w:rsid w:val="00717128"/>
    <w:rsid w:val="007F0FA6"/>
    <w:rsid w:val="00813D20"/>
    <w:rsid w:val="00852B8B"/>
    <w:rsid w:val="008B7129"/>
    <w:rsid w:val="00935418"/>
    <w:rsid w:val="009B7CEE"/>
    <w:rsid w:val="009D3939"/>
    <w:rsid w:val="00B32DFD"/>
    <w:rsid w:val="00BC2B74"/>
    <w:rsid w:val="00BC5859"/>
    <w:rsid w:val="00CE0E93"/>
    <w:rsid w:val="00CF113B"/>
    <w:rsid w:val="00E165FA"/>
    <w:rsid w:val="00E4332A"/>
    <w:rsid w:val="00E528ED"/>
    <w:rsid w:val="00F3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0B4CB"/>
  <w15:chartTrackingRefBased/>
  <w15:docId w15:val="{AA326432-B89D-471C-86AC-E5D2C03B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17A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7A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A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7A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7A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7A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7A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7A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7A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7A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7A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A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7AA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7AA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7A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7A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7A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7A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7A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7A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7A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17A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7A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7A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17A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17AA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7A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7AA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7A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844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justynadziadosz</dc:creator>
  <cp:keywords/>
  <dc:description/>
  <cp:lastModifiedBy>justynadziadosz</cp:lastModifiedBy>
  <cp:revision>9</cp:revision>
  <dcterms:created xsi:type="dcterms:W3CDTF">2026-05-21T08:29:00Z</dcterms:created>
  <dcterms:modified xsi:type="dcterms:W3CDTF">2026-06-29T11:15:00Z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c3b3d789-d917-411d-ad90-3a16b7aadd0e</vt:lpwstr>
  </property>
</Properties>
</file>